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3D137F">
        <w:rPr>
          <w:bCs/>
          <w:color w:val="0070C0"/>
          <w:sz w:val="20"/>
          <w:szCs w:val="20"/>
        </w:rPr>
        <w:t>0</w:t>
      </w:r>
      <w:r w:rsidR="00E67817">
        <w:rPr>
          <w:bCs/>
          <w:color w:val="0070C0"/>
          <w:sz w:val="20"/>
          <w:szCs w:val="20"/>
        </w:rPr>
        <w:t>3</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8C4F6A">
        <w:rPr>
          <w:bCs/>
          <w:color w:val="0070C0"/>
          <w:sz w:val="20"/>
          <w:szCs w:val="20"/>
        </w:rPr>
        <w:t>5</w:t>
      </w:r>
      <w:r w:rsidR="00E67817">
        <w:rPr>
          <w:bCs/>
          <w:color w:val="0070C0"/>
          <w:sz w:val="20"/>
          <w:szCs w:val="20"/>
        </w:rPr>
        <w:t>38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1402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14025">
              <w:rPr>
                <w:rFonts w:ascii="Times New Roman" w:hAnsi="Times New Roman"/>
                <w:sz w:val="24"/>
                <w:szCs w:val="24"/>
              </w:rPr>
              <w:t>9 399 586,9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A14025"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1 884 635,3</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A14025"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1 912 919,2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A14025"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9 170 872,5</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A14025">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A14025">
              <w:rPr>
                <w:rFonts w:ascii="Times New Roman" w:eastAsia="Times New Roman" w:hAnsi="Times New Roman"/>
                <w:color w:val="000000"/>
                <w:sz w:val="20"/>
                <w:szCs w:val="20"/>
                <w:lang w:eastAsia="ru-RU"/>
              </w:rPr>
              <w:t>99 586,9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C0F0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C0F03">
              <w:rPr>
                <w:rFonts w:ascii="Times New Roman" w:eastAsia="Times New Roman" w:hAnsi="Times New Roman"/>
                <w:sz w:val="24"/>
                <w:szCs w:val="24"/>
                <w:lang w:eastAsia="ru-RU"/>
              </w:rPr>
              <w:t>4 121 442,4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798 555,5</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826 092,7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4C0F03">
              <w:rPr>
                <w:rFonts w:ascii="Times New Roman" w:eastAsia="Times New Roman" w:hAnsi="Times New Roman"/>
                <w:color w:val="000000"/>
                <w:sz w:val="24"/>
                <w:szCs w:val="24"/>
                <w:lang w:eastAsia="ru-RU"/>
              </w:rPr>
              <w:t>50 296,5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4C0F03">
              <w:rPr>
                <w:rFonts w:ascii="Times New Roman" w:eastAsia="Times New Roman" w:hAnsi="Times New Roman"/>
                <w:color w:val="000000"/>
                <w:sz w:val="24"/>
                <w:szCs w:val="24"/>
                <w:lang w:eastAsia="ru-RU"/>
              </w:rPr>
              <w:t>21 442,4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3C489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1 912 919,2</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3C489F" w:rsidP="002535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1 884 635,3</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826 092,7</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798 555,5</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3B1C7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198 820,0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B9" w:rsidRDefault="003A0DB9" w:rsidP="00D14AD3">
      <w:pPr>
        <w:spacing w:after="0" w:line="240" w:lineRule="auto"/>
      </w:pPr>
      <w:r>
        <w:separator/>
      </w:r>
    </w:p>
  </w:endnote>
  <w:endnote w:type="continuationSeparator" w:id="0">
    <w:p w:rsidR="003A0DB9" w:rsidRDefault="003A0DB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B9" w:rsidRDefault="003A0DB9" w:rsidP="00D14AD3">
      <w:pPr>
        <w:spacing w:after="0" w:line="240" w:lineRule="auto"/>
      </w:pPr>
      <w:r>
        <w:separator/>
      </w:r>
    </w:p>
  </w:footnote>
  <w:footnote w:type="continuationSeparator" w:id="0">
    <w:p w:rsidR="003A0DB9" w:rsidRDefault="003A0DB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D6D12">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D6D12">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0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0DB9"/>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6D1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6B"/>
    <w:rsid w:val="009F75DB"/>
    <w:rsid w:val="00A01573"/>
    <w:rsid w:val="00A0199B"/>
    <w:rsid w:val="00A04DCA"/>
    <w:rsid w:val="00A073CC"/>
    <w:rsid w:val="00A07FCE"/>
    <w:rsid w:val="00A118C6"/>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C36E-34E9-45CE-A275-427BAEB9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18165</Words>
  <Characters>103543</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2025-04-10T05:32:00Z</dcterms:created>
  <dcterms:modified xsi:type="dcterms:W3CDTF">2025-04-10T05:32:00Z</dcterms:modified>
</cp:coreProperties>
</file>